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after="160" w:line="259" w:lineRule="auto"/>
        <w:rPr>
          <w:rtl w:val="off"/>
        </w:rPr>
      </w:pPr>
      <w:r>
        <w:rPr>
          <w:rtl w:val="off"/>
        </w:rPr>
        <w:drawing>
          <wp:inline distT="0" distB="0" distL="180" distR="180">
            <wp:extent cx="6120130" cy="9071610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716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 w:line="259" w:lineRule="auto"/>
        <w:rPr>
          <w:rtl w:val="off"/>
        </w:rPr>
      </w:pPr>
    </w:p>
    <w:p>
      <w:pPr>
        <w:spacing w:after="160" w:line="259" w:lineRule="auto"/>
        <w:rPr>
          <w:rtl w:val="off"/>
        </w:rPr>
      </w:pPr>
    </w:p>
    <w:p>
      <w:pPr>
        <w:spacing w:after="160" w:line="259" w:lineRule="auto"/>
        <w:rPr>
          <w:rtl w:val="off"/>
        </w:rPr>
      </w:pPr>
    </w:p>
    <w:p>
      <w:pPr>
        <w:spacing w:after="160" w:line="259" w:lineRule="auto"/>
        <w:rPr>
          <w:rtl w:val="off"/>
        </w:rPr>
      </w:pP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  <w:r>
        <w:rPr>
          <w:rFonts w:ascii="Times New Roman" w:eastAsia="Times New Roman" w:hAnsi="Times New Roman"/>
          <w:b/>
          <w:bCs/>
          <w:sz w:val="22"/>
          <w:szCs w:val="22"/>
          <w:rtl w:val="off"/>
        </w:rPr>
        <w:t>ПОЛОЖЕНИЕ</w:t>
      </w: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  <w:r>
        <w:rPr>
          <w:rFonts w:ascii="Times New Roman" w:eastAsia="Times New Roman" w:hAnsi="Times New Roman"/>
          <w:b/>
          <w:bCs/>
          <w:sz w:val="22"/>
          <w:szCs w:val="22"/>
          <w:rtl w:val="off"/>
        </w:rPr>
        <w:t xml:space="preserve">ОБ АТТЕСТАЦИИ НА СООТВЕТСТВИЕ ПРОФЕССИОНАЛЬНОМУ СТАНДАРТУ </w:t>
      </w: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  <w:r>
        <w:rPr>
          <w:rFonts w:ascii="Times New Roman" w:eastAsia="Times New Roman" w:hAnsi="Times New Roman"/>
          <w:b/>
          <w:bCs/>
          <w:sz w:val="22"/>
          <w:szCs w:val="22"/>
          <w:rtl w:val="off"/>
        </w:rPr>
        <w:t>“ПЕДАГОГ ДОПОЛНИТЕЛЬНОГО ОБРАЗОВАНИЯ ДЕТЕЙ И ВЗРОСЛЫХ”</w:t>
      </w: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  <w:r>
        <w:rPr>
          <w:rFonts w:ascii="Times New Roman" w:eastAsia="Times New Roman" w:hAnsi="Times New Roman"/>
          <w:b/>
          <w:bCs/>
          <w:sz w:val="22"/>
          <w:szCs w:val="22"/>
          <w:rtl w:val="off"/>
        </w:rPr>
        <w:t>МУНИЦИПАЛЬНОГО КАЗЕННОГО УЧРЕЖДЕНИЯ</w:t>
      </w: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  <w:r>
        <w:rPr>
          <w:rFonts w:ascii="Times New Roman" w:eastAsia="Times New Roman" w:hAnsi="Times New Roman"/>
          <w:b/>
          <w:bCs/>
          <w:sz w:val="22"/>
          <w:szCs w:val="22"/>
          <w:rtl w:val="off"/>
        </w:rPr>
        <w:t xml:space="preserve"> ДОПОЛНИТЕЛЬНОГО ОБРАЗОВАНИЯ</w:t>
      </w: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  <w:r>
        <w:rPr>
          <w:rFonts w:ascii="Times New Roman" w:eastAsia="Times New Roman" w:hAnsi="Times New Roman"/>
          <w:b/>
          <w:bCs/>
          <w:sz w:val="22"/>
          <w:szCs w:val="22"/>
          <w:rtl w:val="off"/>
        </w:rPr>
        <w:t>“МОСКАЛЕНСКАЯ ДЕТСКАЯ ШКОЛА ИСКУССТВ ИМЕНИ ЗОНОВА И.Н.”</w:t>
      </w:r>
    </w:p>
    <w:p>
      <w:pPr>
        <w:jc w:val="center"/>
        <w:rPr>
          <w:rFonts w:ascii="Times New Roman" w:eastAsia="Times New Roman" w:hAnsi="Times New Roman"/>
          <w:b/>
          <w:bCs/>
          <w:sz w:val="22"/>
          <w:szCs w:val="22"/>
          <w:rtl w:val="off"/>
        </w:rPr>
      </w:pPr>
    </w:p>
    <w:p>
      <w:pPr>
        <w:jc w:val="left"/>
        <w:rPr>
          <w:rFonts w:ascii="Times New Roman" w:eastAsia="Times New Roman" w:hAnsi="Times New Roman"/>
          <w:b/>
          <w:bCs/>
          <w:sz w:val="26"/>
          <w:szCs w:val="26"/>
          <w:rtl w:val="off"/>
        </w:rPr>
      </w:pPr>
    </w:p>
    <w:p>
      <w:pPr>
        <w:jc w:val="left"/>
        <w:rPr>
          <w:rFonts w:ascii="Times New Roman" w:eastAsia="Times New Roman" w:hAnsi="Times New Roman"/>
          <w:b/>
          <w:bCs/>
          <w:sz w:val="26"/>
          <w:szCs w:val="26"/>
          <w:rtl w:val="off"/>
        </w:rPr>
      </w:pPr>
    </w:p>
    <w:p>
      <w:pPr>
        <w:jc w:val="left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  <w:r>
        <w:rPr>
          <w:rFonts w:ascii="Times New Roman" w:eastAsia="Times New Roman" w:hAnsi="Times New Roman"/>
          <w:b/>
          <w:bCs/>
          <w:sz w:val="28"/>
          <w:szCs w:val="28"/>
          <w:rtl w:val="off"/>
        </w:rPr>
        <w:t>1. Основные термины и определения</w:t>
      </w: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>1.1.ПРОФЕССИОНАЛЬНЫЙ СРТАНДАРТ “Педагог дополнительного образования детей и взрослых” (далее по тексту-Стандарт)- характеристики квалификаций, необходимых работнику для осуществления профессиональной деятельности в области преподавания по дополнительным образовательным программам. Стандарты разработаны ФГАУ “Федеральный институт развития образования” (ФГАУ “ФИРО”),утверждены  приказом Министерства труда и социальной защиты Российской Федерации от 08.09.2015 №613н (зарегистрирован Министерством юстиции Российской Федерации 24.09.2015 №38994).</w:t>
      </w: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>1.2. КВАЛИФИКАЦИЯ- уровень знаний, умений, навыков и компетенции,</w:t>
      </w: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>характеризующий подготовленность к выполнению определенного вида профессиональной деятельности.</w:t>
      </w: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>1.3. АТТЕСТАЦИЯ-оценка квалификации преподавателей учреждения, проводимая работодателем на основании профессиональных стандартов, иных квалифицированных требований, утвержденных в установленных законодательном порядке для оценки соответствия профессиональному стандарту “Педагог дополнительного образования детей и взрослых”.</w:t>
      </w: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>1.4. САМООЦЕНКА ПРОФЕССИОНАЛЬНОЙ ДЕЯТЕЛЬНОСТИ ПРЕПОДАВАТЕЛЯ</w:t>
      </w:r>
    </w:p>
    <w:p>
      <w:pPr>
        <w:jc w:val="left"/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>-заполнение оценочного листа соответствия профессиональному стандарту “Педагог дополнительного образования детей и взрослых”.</w:t>
      </w:r>
    </w:p>
    <w:p>
      <w:pPr>
        <w:jc w:val="center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</w:p>
    <w:p>
      <w:pPr>
        <w:jc w:val="center"/>
        <w:rPr>
          <w:rFonts w:ascii="Times New Roman" w:eastAsia="Times New Roman" w:hAnsi="Times New Roman"/>
          <w:b/>
          <w:bCs/>
          <w:sz w:val="28"/>
          <w:szCs w:val="28"/>
          <w:rtl w:val="off"/>
        </w:rPr>
      </w:pPr>
      <w:r>
        <w:rPr>
          <w:rFonts w:ascii="Times New Roman" w:eastAsia="Times New Roman" w:hAnsi="Times New Roman"/>
          <w:b/>
          <w:bCs/>
          <w:sz w:val="28"/>
          <w:szCs w:val="28"/>
          <w:rtl w:val="off"/>
        </w:rPr>
        <w:t>2. Общее  положение</w:t>
      </w:r>
    </w:p>
    <w:p>
      <w:pPr>
        <w:jc w:val="left"/>
        <w:rPr>
          <w:b w:val="0"/>
          <w:sz w:val="30"/>
          <w:szCs w:val="30"/>
          <w:rtl w:val="off"/>
        </w:rPr>
      </w:pPr>
      <w:r>
        <w:rPr>
          <w:rFonts w:ascii="Times New Roman" w:eastAsia="Times New Roman" w:hAnsi="Times New Roman"/>
          <w:b w:val="0"/>
          <w:bCs w:val="0"/>
          <w:sz w:val="28"/>
          <w:szCs w:val="28"/>
          <w:rtl w:val="off"/>
        </w:rPr>
        <w:t xml:space="preserve">2.1. Настоящее положение определяет порядок аттестации преподавателей </w:t>
      </w:r>
      <w:r>
        <w:rPr>
          <w:b w:val="0"/>
          <w:sz w:val="30"/>
          <w:szCs w:val="30"/>
          <w:rtl w:val="off"/>
        </w:rPr>
        <w:t>муниципального казенного учреждения дополнительного образования</w:t>
      </w:r>
      <w:r>
        <w:rPr>
          <w:rFonts w:ascii="Times New Roman" w:eastAsia="Times New Roman" w:hAnsi="Times New Roman" w:hint="default"/>
          <w:sz w:val="28"/>
          <w:szCs w:val="28"/>
        </w:rPr>
        <w:t xml:space="preserve"> </w:t>
      </w:r>
      <w:r>
        <w:rPr>
          <w:b w:val="0"/>
          <w:sz w:val="30"/>
          <w:szCs w:val="30"/>
          <w:rtl w:val="off"/>
        </w:rPr>
        <w:t xml:space="preserve"> “</w:t>
      </w:r>
      <w:r>
        <w:rPr>
          <w:rFonts w:ascii="Times New Roman" w:eastAsia="Times New Roman" w:hAnsi="Times New Roman" w:hint="default"/>
          <w:sz w:val="28"/>
          <w:szCs w:val="28"/>
        </w:rPr>
        <w:t>Москаленская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</w:t>
      </w:r>
      <w:r>
        <w:rPr>
          <w:b w:val="0"/>
          <w:sz w:val="30"/>
          <w:szCs w:val="30"/>
          <w:rtl w:val="off"/>
        </w:rPr>
        <w:t>Детская школа искусств имени Зонова И.Н.” (далее МКУ</w:t>
      </w:r>
    </w:p>
    <w:p>
      <w:pPr>
        <w:jc w:val="left"/>
        <w:rPr>
          <w:b w:val="0"/>
          <w:sz w:val="30"/>
          <w:szCs w:val="30"/>
          <w:rtl w:val="off"/>
        </w:rPr>
      </w:pPr>
      <w:r>
        <w:rPr>
          <w:b w:val="0"/>
          <w:sz w:val="30"/>
          <w:szCs w:val="30"/>
          <w:rtl w:val="off"/>
        </w:rPr>
        <w:t>ДО “</w:t>
      </w:r>
      <w:r>
        <w:rPr>
          <w:rFonts w:ascii="Times New Roman" w:eastAsia="Times New Roman" w:hAnsi="Times New Roman" w:hint="default"/>
          <w:sz w:val="28"/>
          <w:szCs w:val="28"/>
        </w:rPr>
        <w:t>Москаленская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 </w:t>
      </w:r>
      <w:r>
        <w:rPr>
          <w:b w:val="0"/>
          <w:sz w:val="30"/>
          <w:szCs w:val="30"/>
          <w:rtl w:val="off"/>
        </w:rPr>
        <w:t>ДШИ им.Зонова И.Н.”).</w:t>
      </w:r>
    </w:p>
    <w:p>
      <w:pPr>
        <w:jc w:val="left"/>
        <w:rPr>
          <w:b w:val="0"/>
          <w:sz w:val="30"/>
          <w:szCs w:val="30"/>
          <w:rtl w:val="off"/>
        </w:rPr>
      </w:pPr>
      <w:r>
        <w:rPr>
          <w:b w:val="0"/>
          <w:sz w:val="30"/>
          <w:szCs w:val="30"/>
          <w:rtl w:val="off"/>
        </w:rPr>
        <w:t>2.2.  Аттестация включает:</w:t>
      </w:r>
    </w:p>
    <w:p>
      <w:pPr>
        <w:jc w:val="left"/>
        <w:rPr>
          <w:rFonts w:ascii="Times New Roman" w:eastAsia="Times New Roman" w:hAnsi="Times New Roman"/>
          <w:b/>
          <w:bCs/>
          <w:sz w:val="26"/>
          <w:szCs w:val="26"/>
          <w:rtl w:val="off"/>
        </w:rPr>
      </w:pPr>
    </w:p>
    <w:p>
      <w:pPr>
        <w:jc w:val="right"/>
        <w:rPr>
          <w:b/>
          <w:sz w:val="28"/>
          <w:szCs w:val="28"/>
          <w:rtl w:val="off"/>
        </w:rPr>
      </w:pPr>
    </w:p>
    <w:p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определение уровня образования, обучения и опыта практической работы преподавателя на основе представляемых им документов;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соответствия особым условиям допуска к работе преподавателя на основе предоставленных им документов;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уровня квалификации для осуществления профессиональной деятельности в области преподавания по дополнительным общеобразовательным программам;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самооценка профессиональной деятельности преподавателя. Приложение №2 к настоящему Приложению.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Определение уровня образования, обучения и опыта практической работы, соответствия особым условиям допуска к работе преподавателя, а также уровня необходимых умений и знаний для осуществления профессиональной деятельности в области преподавания по дополнительным общеобразовательным программам проводится аттестационной комиссией учреждения.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трудовых функций преподавателя: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1477"/>
        <w:gridCol w:w="6514"/>
      </w:tblGrid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Функции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Квалифи-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кация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трудовой функции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А/01.6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деятельности учащихся, направленной на освоение дополнительной общеобразовательной программы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А/02.6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досуговой деятельности учащихся в процессе реализации дополнительной общеобразовательной программы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А/03.6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>
        <w:tc>
          <w:tcPr>
            <w:tcW w:w="1269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А/04.6</w:t>
            </w:r>
          </w:p>
        </w:tc>
        <w:tc>
          <w:tcPr>
            <w:tcW w:w="1297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>
        <w:tc>
          <w:tcPr>
            <w:tcW w:w="2566" w:type="dxa"/>
            <w:gridSpan w:val="2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Требования к образованию и обучению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Среднее профессиональное образование – программы подготовки специалистов среднего звена или высшее образование – бакалавриат, направленность (профиль) которого, как правило, соответствует направленности дополнительной общеобразовательной программы, осваиваемой учащимися. Дополнительное профессиональное образование – профессиональная переподготовка, направленность (профиль) которой соответствует направленности дополнительной общеобразовательной программы, осваиваемой учащимися.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 отсутствии педагогического образования – дополнительное профессиональное педагогическое образование.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Рекомендуется обучение по дополнительным профессиональным программам по профилю педагогической деятельности не реже, чем один раз в три года.</w:t>
            </w:r>
          </w:p>
        </w:tc>
      </w:tr>
      <w:tr>
        <w:tc>
          <w:tcPr>
            <w:tcW w:w="2566" w:type="dxa"/>
            <w:gridSpan w:val="2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Требования к опыту практической работы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>
        <w:tc>
          <w:tcPr>
            <w:tcW w:w="2566" w:type="dxa"/>
            <w:gridSpan w:val="2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Особые условия допуска к работе</w:t>
            </w:r>
          </w:p>
        </w:tc>
        <w:tc>
          <w:tcPr>
            <w:tcW w:w="651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ограничений на занятие педагогической деятельностью, установленных законодательством Российской Федерации.</w:t>
            </w:r>
          </w:p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Прохождение обязательных предварительных (при поступлении на работу) и периодических медицинских осмотров (обследований) в порядке, установленном законодательством Российской Федерации.</w:t>
            </w:r>
          </w:p>
        </w:tc>
      </w:tr>
    </w:tbl>
    <w:p>
      <w:pPr>
        <w:pStyle w:val="af3"/>
        <w:jc w:val="center"/>
        <w:spacing w:after="0"/>
        <w:rPr>
          <w:rFonts w:ascii="Times New Roman" w:hAnsi="Times New Roman"/>
          <w:sz w:val="28"/>
          <w:szCs w:val="28"/>
        </w:rPr>
      </w:pPr>
    </w:p>
    <w:p>
      <w:pPr>
        <w:pStyle w:val="af3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Дополнительные характеристики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056"/>
        <w:gridCol w:w="5394"/>
      </w:tblGrid>
      <w:tr>
        <w:tc>
          <w:tcPr>
            <w:tcW w:w="26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классификатора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Код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базовой группы, должности (профессии) или специальности</w:t>
            </w:r>
          </w:p>
        </w:tc>
      </w:tr>
      <w:tr>
        <w:tc>
          <w:tcPr>
            <w:tcW w:w="26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ОКЗ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2357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Преподаватели по программам дополнительного обучения</w:t>
            </w:r>
          </w:p>
        </w:tc>
      </w:tr>
      <w:tr>
        <w:tc>
          <w:tcPr>
            <w:tcW w:w="26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ОКПДТР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25478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>
        <w:tc>
          <w:tcPr>
            <w:tcW w:w="2693" w:type="dxa"/>
            <w:vMerge w:val="restart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ОКСО</w:t>
            </w: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050710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jc w:val="both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Педагогика дополнительного образования</w:t>
            </w:r>
          </w:p>
        </w:tc>
      </w:tr>
      <w:tr>
        <w:tc>
          <w:tcPr>
            <w:tcW w:w="2693" w:type="dxa"/>
            <w:vMerge w:val="continue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94" w:type="dxa"/>
          </w:tcPr>
          <w:p>
            <w:pPr>
              <w:pStyle w:val="af3"/>
              <w:ind w:left="0"/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Направления подготовки и специальности, соответствующие по направленности (профилю) направленности дополнительной  общеобразовательной программы, осваиваемой учащимися, или преподаваемому учебному курсу, дисциплине (модулю).</w:t>
            </w:r>
          </w:p>
        </w:tc>
      </w:tr>
    </w:tbl>
    <w:p>
      <w:pPr>
        <w:pStyle w:val="af3"/>
        <w:jc w:val="center"/>
        <w:spacing w:after="0"/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  <w:r>
        <w:rPr>
          <w:rFonts w:ascii="Times New Roman" w:hAnsi="Times New Roman"/>
          <w:b/>
          <w:sz w:val="28"/>
          <w:szCs w:val="28"/>
          <w:rtl w:val="off"/>
        </w:rPr>
        <w:t xml:space="preserve"> </w:t>
      </w: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  <w:rtl w:val="off"/>
        </w:rPr>
      </w:pP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rtl w:val="off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Порядок аттестации преподавателей с целью определения </w:t>
      </w:r>
    </w:p>
    <w:p>
      <w:pPr>
        <w:pStyle w:val="af3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соответствия профессиональному стандарту</w:t>
      </w:r>
    </w:p>
    <w:p>
      <w:pPr>
        <w:pStyle w:val="af3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«Педагог дополнительного образования детей и взрослых»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Аттестация преподавателей с целью определения соответствия профессиональному стандарту «Педагог дополнительного образования детей и взрослых» проводится один раз.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Аттестационная комиссия учреждения создается приказом по учреждению в составе председателя комиссии и членов комиссии.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Аттестация проводится в соответствии с приказом по учреждению. Приказом определяются мероприятия, сроки их проведения, ответственные лица и другие необходимые распоряжения.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Аттестационная комиссия проводит определение соответствия преподавателей профессиональным стандартам по следующим критериям: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уровень образования, обучения и опыта практической работы преподавателя на основе представленных им документов;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особым условиям допуска к работе преподавателя на основе представленных им документов.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уровень квалификации, всесторонняя и объективная оценка профессиональных, деловых качеств, результатов профессиональной деятельности в области преподавания по дополнительным общеобразовательным программам на основе самооценки профессиональной деятельности преподавателя и характеристики профессиональной деятельности.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Преподаватель по желанию может представить в аттестационную комиссию дополнительные сведения, характеризующие его профессиональную деятельность.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Заседание аттестационной комиссии считается правомочным, если на нем присутствуют не менее двух третей от общего числа членов аттестационной комиссии.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аттестации аттестационная комиссия принимает одно из следующих решений: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соответствует профессиональному стандарту «Педагог дополнительного образования детей и взрослых»:</w:t>
      </w:r>
    </w:p>
    <w:p>
      <w:pPr>
        <w:pStyle w:val="af3"/>
        <w:ind w:left="142" w:firstLine="57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соответствует профессиональному стандарту «Педагог дополнительного образования детей и взрослых».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принимается аттестационной комиссией открытым голосованием большинством голосов членов аттестационной комиссии, присутствующих на заседании.</w:t>
      </w:r>
    </w:p>
    <w:p>
      <w:pPr>
        <w:pStyle w:val="af3"/>
        <w:ind w:left="142" w:firstLine="93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прохождении аттестации преподаватель, являющийся членом аттестационной комиссии, не участвует в голосовании по своей кандидатуре.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случаях, когда не менее половины членов аттестационной комиссии, присутствующих на заседании, проголосовали за решение о соответствии преподавателя профессиональному стандарту «Педагог дополнительного образования детей и взрослых» преподаватель признается соответствующим профессиональному стандарту «Педагог дополнительного образования детей и взрослых».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аттестации преподавателей заносятся в протокол, подписываемый председателем и членами аттестационной комиссии, присутствовавшими на заседании, который хранится у работодателя.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преподавателя, прошедшего аттестацию, не позднее двух рабочих дней со дня ее проведения составляется выписка из протокола, содержащая сведения о фамилии, имени, отчестве аттестуемого, наименование его должности, дате заседания аттестационной комиссии, результатах голосования, о принятом аттестационной комиссией организации решении. Председатель аттестационной комиссии знакомит преподавателя с выпиской из протокола под подпись в течении трех рабочих дней после ее составления. Выписка из протокола хранится в личном деле преподавателя.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аттестации преподаватель в праве обжаловать в соответствии с законодательством Российской Федерации.</w:t>
      </w:r>
    </w:p>
    <w:p>
      <w:pPr>
        <w:pStyle w:val="af3"/>
        <w:ind w:left="142" w:firstLine="578"/>
        <w:jc w:val="both"/>
        <w:numPr>
          <w:ilvl w:val="1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аттестационной комиссии в месячный срок издается приказ по учреждению о соответствии (не соответствии) преподавателя профессиональному стандарту «Педагог дополнительного образования детей и взрослых».</w:t>
      </w: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  <w:rtl w:val="off"/>
        </w:rPr>
      </w:pPr>
    </w:p>
    <w:p>
      <w:pPr>
        <w:ind w:left="-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>
      <w:pPr>
        <w:ind w:left="-540"/>
        <w:jc w:val="right"/>
        <w:rPr>
          <w:sz w:val="28"/>
          <w:szCs w:val="28"/>
        </w:rPr>
      </w:pP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ОЦЕНОЧНЫЙ ЛИСТ</w:t>
      </w: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соответствия профессиональному стандарту</w:t>
      </w: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«ПЕДАГОГ ДОПОЛНИТЕЛЬНОГО ОБРАЗОВАНИЯ</w:t>
      </w:r>
    </w:p>
    <w:p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ДЕТЕЙ И ВЗРОСЛЫХ»</w:t>
      </w:r>
    </w:p>
    <w:p>
      <w:pPr>
        <w:ind w:left="-540"/>
        <w:jc w:val="center"/>
        <w:rPr>
          <w:b/>
          <w:sz w:val="28"/>
          <w:szCs w:val="28"/>
        </w:rPr>
      </w:pP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1.Ф.И.О преподавателя 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2.Квалификационная категория, срок ее действия____________________________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3.Стаж работы:  общий _______________педагогический 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4.Образование: (когда и какое образовательное учреждение профессионального образования окончил, полученная специальность и  квалификация)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5.Повышение квалификации:___________________________________________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ind w:left="-540"/>
        <w:rPr>
          <w:sz w:val="28"/>
          <w:szCs w:val="28"/>
        </w:rPr>
      </w:pPr>
      <w:r>
        <w:rPr>
          <w:sz w:val="28"/>
          <w:szCs w:val="28"/>
        </w:rPr>
        <w:t>6.Трудовые функции:</w:t>
      </w:r>
    </w:p>
    <w:p>
      <w:pPr>
        <w:ind w:left="-540"/>
        <w:rPr>
          <w:sz w:val="28"/>
          <w:szCs w:val="28"/>
        </w:rPr>
      </w:pP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7193"/>
        <w:gridCol w:w="963"/>
      </w:tblGrid>
      <w:tr>
        <w:tc>
          <w:tcPr>
            <w:tcW w:w="9153" w:type="dxa"/>
            <w:gridSpan w:val="2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1.Организация деятельности учащихся, направленной на освоение</w:t>
            </w:r>
          </w:p>
          <w:p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ind w:left="-57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1- да, </w:t>
            </w:r>
          </w:p>
          <w:p>
            <w:pPr>
              <w:ind w:left="-57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0 - нет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функции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Набор на обучение по дополнительной общеобразовательной  общеразвивающей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Организация, в том числе стимулирование и мотивация деятельности и общения учащихся на учебных занятиях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Консультирование учащихся и их родителей по вопросам обучения по дополнительной обшеобразовательной  общеразвивающей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Текущий контроль, помощь учащимся в коррекции деятельности и поведения на занятиях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Разработка мероприятий по модернизации оснащения кабинета, формирование его предметно-пространственной среды, обеспечивающей освоение 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Осуществлять деятельность и (или) демонстрировать элементы деятельности, соответствующей программе дополнительного образования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Готовить  информационные  материалы о возможностях и содержании дополнительной общеобразовательной программы и представлять ее при проведении мероприятий по привлечению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Понимать мотивы поведения учащихся, их образовательные запросы и потребности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Диагностировать предрасположенность (задатки) детей к освоению выбранного вида искусства, отбирать лиц, имеющих необходимые для освоения соответствующей образовательные  программы физические данные и творческие способности в области искусств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Обеспечивать сохранность и эффективное использование оборудование, технических средств обучения, расходных материалов (в зависимости от направленности программы)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 возможности и привлекать ресурсы внешней  социокультурной среды для реализации программы,  повышения развивающего потенциала дополнительного образования.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условия для развития учащихся, мотивировать их к активному освоению ресурсов и развивающих возможностей образовательной среды, освоению выбранной программы, привлекать к целеполаганию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для педагогической поддержки учащихся.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Использовать на занятиях педагогически обоснованные формы, методы, средства и приемы организации деятельности учащихся с учетом их особенностей: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выбранной области деятельности и задач дополнительной общеобразовательной программы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состояния здоровья, возрастных и индивидуальных особенностей учащихся, в том числе детей с ограниченными возможностями здоровья)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Готовить учащихся к участию в выставках, конкурсах и иных аналогичных мероприятиях (в соответствии с направленностью осваиваем ой программы)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педагогические условия для формирования и развития  самоконтроля и самооценки учащимися результатов освоения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поведения учащихся на занятиях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Контролировать санитарно-бытовые условия и условия внутренней среды кабинета, выполнение на занятиях требований по охране труда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проведенные уроки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Взаимодействовать с членами педагогического коллектива, представителями профессионального сообщества, родителями учащихся (законными представителями) иными заинтересованными лицами организациями при решении задач обучения и (или) воспитания отдельных учащихся и (или) учебной группы с соблюдением норм педагогической этики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Принципы и приемы презентации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Техники и приемы общения (слушания, убеждения) с учетом возрастных и индивидуальных особенностей собеседников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Техники и приемы вовлечения в деятельность, мотивации учащихся различного возраста к освоению выбранной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Особенности 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характеристики, способы педагогической диагностики и развития ценностно-смысловой, эмоционально-волевой , потребностно-мотивационной , интеллектуальной, коммуникативной сфер учащихся различного возраста на уроках по дополнительным общеобразовательным программам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Методы, приемы и способы формирования благоприятного психологического климата и обеспечение условий для сотрудничества с учащимися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Источники, виды и способы разрешения конфликтов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Педагогические, санитарно-гигиенические, эргономические, эстетические, психологические и специальные требования к дидактическому  обеспечению и оформлению учебного помещения в соответствии с его предназначением по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Правила эксплуатации учебного оборудования и технических средств обучения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Требования охраны труда в области преподаваемой дисциплины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Меры ответственности педагогических работников за жизнь и здоровье учащихся, находящихся под их руководством.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Нормативные правовые акты в области защиты прав ребенка, включая международные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2.Организация досуговой деятельности учащихся в процессе реализации дополнительной общеобразовательной программы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Планирование подготовки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Организация подготовки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Проведение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при подготовке  и проведении досуговых мероприятий условия для обучения, воспитания и развития учащихся, формирования благоприятного психологического климата в учебном коллективе, в том числе: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привлекать учащихся к планированию досуговых мероприятий, разработке сценариев, организации подготовки к мероприятиям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-использовать при проведении  досуговых мероприятий 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Педагогически обоснованные формы , методы и способы организации деятельности и общения учащихся с учетом их возраста, состояния здоровья и индивидуальных особенностей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проводить мероприятия для учащихся с ограниченными возможностями здоровья и сих участием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устанавливать педагогически целесообразные взаимоотношения с учащимися при проведении досуговых мероприятий, использовать различные средства  педагогической поддержки учащихся, испытывающих затруднения в общении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Проводить анализ и самоанализ организации досуговой деятельности, подготовки и проведения массовых мероприятий, отслеживать педагогические эффекты проведения мероприятий.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Основные направления досуговой деятельности, особенности проведения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3.Обеспечение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Планирование взаимодействия с родителями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Проведение родительских собраний, индивидуальных и групповых встреч (консультаций) с родителями обучающихся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Организация совместной деятельности детей и взрослых и при проведении образовательной деятельности и досуговых мероприятий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Обеспечение в рамках своих полномочий  соблюдения прав ребенка и выполнения взрослыми установленных обязанностей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Определять цели и задачи взаимодействия с родителями учащихся,  планировать деятельность в этой области с учетом особенностей социального и этнокультурного состава класса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Выявлять представления родителей учащихся о задачах их воспитания и обучения в процессе освоения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Организовывать и проводить индивидуальные и групповые встречи (консультации) с родителями учащихся с целью лучшего понимания индивидуальных особенностей учащихся, информирования родителей о ходе и результатах освоения детьми образовательной программы, повышения психолого-педагогической компетентности родителей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Использовать различные приемы привлечения родителей к организации образовательной деятельности и досуговых мероприятий, методы, формы и средства организации их совместной с детьми деятельности.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Особенности современного воспитания и современной семьи, содержание, формы и методы работы преподавателя с семьями учащихся.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Педагогические возможности и методика подготовки и проведения мероприятий для родителей и с участием родителей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методы, формы, приемы и способы формирования и развития психолого-педагогической компетентности родителей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Основные принципы и технические приемы создания информационных материалов (текстов для  публикации, презентаций, фото и видеоотчетов, коллажей)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Приемы привлечения родителей к организации образовательной деятельности и досуговых мероприятий , методы, формы и средства организации их совместной с детьми деятельности.</w:t>
            </w:r>
          </w:p>
          <w:p>
            <w:pPr>
              <w:rPr>
                <w:rFonts w:eastAsia="Calibri"/>
              </w:rPr>
            </w:pP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4.Педагогический контроль и оценка освоения дополнительной общеобразовательной программы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Контроль и оценка освоения дополнительных общеобразовательных программ, в том числе в рамках установленных форм аттестации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 и интерпретация результатов  педагогического контроля и оценки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Фиксация и оценка динамики подготовленности и мотивации учащихся в процессе освоения дополнительной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Определять формы, методы и средства оценивания процесса и результатов деятельности учащихся при освоении программ дополнительного образования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Устанавливать  педагогически целесообразные взаимоотношения с учащимися для обеспечения достоверного оценивания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Наблюдать за учащимися, объективно оценивать процесс и результаты освоения дополнительных общеобразовательных программ , в том числе в рамках установленных форм аттестации.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Выполнять нормы педагогической этики, обеспечивать охрану жизни и здоровья учащихся в процессе публичного представления результатов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и интерпретировать результаты педагогического наблюдения, контроля и диагностики с учетом задач и особенностей дополнительной общеобразовательной программы и особенностей 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Анализировать и корректировать собственную оценочную деятельность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Корректировать процесс освоения дополнительной общеобразовательной программы, собственную педагогическую деятельность по результатам педагогического контроля и оценки освоения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Особенности оценивания процесса и результатов деятельности учащихся при освоении дополнительных общеобразовательных программ художественной направленности, в том числе в рамках установленных форм аттестации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Понятие и виды качественных и количественных оценок, возможности и ограничения их использования для оценивания процесса и результатов деятельности учащихся при освоении дополнительных общеобразовательных программ художественной направленности.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Нормативные правовые акты в области защиты прав ребенка, нормы педагогической этики при публичном представлении результатов оценивания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Характеристики и возможности применения  различных форм, методов и  средств  контроля и оценивания освоения дополнительных общеобразовательных программ художественной направленности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Методы подбора  из существующих и (или) создания оценочных средств, позволяющих оценить индивидуальные образовательные достижения учащихся по выбранной программе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0116" w:type="dxa"/>
            <w:gridSpan w:val="3"/>
          </w:tcPr>
          <w:p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5.Разработка программно-методического обеспечения реализации дополнительной общеобразовательной программы</w:t>
            </w: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Трудовые действия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Разработка дополнительных общеобразовательных программ и учебно-методических материалов для их  реализации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Определение педагогических целей и задач, планирование образовательной деятельности, направленной на освоение выбранной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Определение педагогических целей и задач, планирование досуговой деятельности, разработка планов, сценариев, досуговых мероприятий.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Ведение документации, обеспечивающей реализацию дополнитель ной общеобразовательной программы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умения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Находить, анализировать возможности использования и использовать источники необходимой для планирования профессиональной информации(включая методическую литературу, электронные образовательные ресурсы)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Выявлять интересы учащихся в процессе реализации дополнительной общеобразовательной программы и досуговой деятельности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Планировать образовательный процесс, разрабатывать сценарии досуговых мероприятий с учетом: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задач и особенностей образовательной программы;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образовательных запросов учащихся , возможностей и условий их удовлетворения в процессе освоения дополнительной общеобразовательной программы, фактического уровня подготовленности, состояния здоровья, возрастных и индивидуальных особенностей  учащихся, в том числе с ограниченными возможностями здоровья, в зависимости от контингента учащихся.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-особенностей класса учащихся</w:t>
            </w:r>
          </w:p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- санитарно-гигиенических норм и требований охраны хизни и здоровья учащихся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restart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Необходимые знания</w:t>
            </w: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Проектировать совместно с учащимися индивидуальные образовательные маршруты освоения дополнительных общеобразовательных программ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Корректировать содержание программ, системы контроля и оценки, планирования уроков по результатам анализа их реализации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Вести учебную, планирующую документацию на бумажных и электронных носителях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Создавать отчетные (отчетно-аналитические) и информационные материалы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  <w:vMerge w:val="continue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7198" w:type="dxa"/>
          </w:tcPr>
          <w:p>
            <w:pPr>
              <w:rPr>
                <w:rFonts w:eastAsia="Calibri"/>
              </w:rPr>
            </w:pPr>
            <w:r>
              <w:rPr>
                <w:rFonts w:eastAsia="Calibri"/>
              </w:rPr>
              <w:t>Использовать технические средства обучения, включая ИКТ, возможности их использования на уроках, и условия выбора в соответствии с целью и задачами программы.</w:t>
            </w: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  <w:tr>
        <w:tc>
          <w:tcPr>
            <w:tcW w:w="1955" w:type="dxa"/>
          </w:tcPr>
          <w:p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ИТОГО</w:t>
            </w:r>
          </w:p>
        </w:tc>
        <w:tc>
          <w:tcPr>
            <w:tcW w:w="7198" w:type="dxa"/>
          </w:tcPr>
          <w:p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963" w:type="dxa"/>
          </w:tcPr>
          <w:p>
            <w:pPr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>
      <w:pPr>
        <w:spacing w:after="160" w:line="259" w:lineRule="auto"/>
      </w:pP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true"/>
    <w:sig w:usb0="E0002EFF" w:usb1="C000785B" w:usb2="00000009" w:usb3="00000001" w:csb0="400001FF" w:csb1="FFFF0000"/>
  </w:font>
  <w:font w:name="Calibri">
    <w:panose1 w:val="020F0502020204030204"/>
    <w:family w:val="swiss"/>
    <w:charset w:val="cc"/>
    <w:notTrueType w:val="true"/>
    <w:sig w:usb0="E4002EFF" w:usb1="C000247B" w:usb2="00000009" w:usb3="00000001" w:csb0="200001F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0ec0f59"/>
    <w:multiLevelType w:val="multilevel"/>
    <w:tmpl w:val="4d6d7a8"/>
    <w:lvl w:ilvl="0">
      <w:start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lvlText w:val="%1.%2."/>
      <w:lvlJc w:val="left"/>
      <w:isLgl/>
      <w:pPr>
        <w:ind w:left="1080" w:hanging="360"/>
      </w:pPr>
      <w:rPr>
        <w:rFonts w:hint="default"/>
      </w:rPr>
    </w:lvl>
    <w:lvl w:ilvl="2">
      <w:start w:val="1"/>
      <w:lvlText w:val="%1.%2.%3."/>
      <w:lvlJc w:val="left"/>
      <w:isLgl/>
      <w:pPr>
        <w:ind w:left="1800" w:hanging="720"/>
      </w:pPr>
      <w:rPr>
        <w:rFonts w:hint="default"/>
      </w:rPr>
    </w:lvl>
    <w:lvl w:ilvl="3">
      <w:start w:val="1"/>
      <w:lvlText w:val="%1.%2.%3.%4."/>
      <w:lvlJc w:val="left"/>
      <w:isLgl/>
      <w:pPr>
        <w:ind w:left="2160" w:hanging="720"/>
      </w:pPr>
      <w:rPr>
        <w:rFonts w:hint="default"/>
      </w:rPr>
    </w:lvl>
    <w:lvl w:ilvl="4">
      <w:start w:val="1"/>
      <w:lvlText w:val="%1.%2.%3.%4.%5."/>
      <w:lvlJc w:val="left"/>
      <w:isLgl/>
      <w:pPr>
        <w:ind w:left="2880" w:hanging="1080"/>
      </w:pPr>
      <w:rPr>
        <w:rFonts w:hint="default"/>
      </w:rPr>
    </w:lvl>
    <w:lvl w:ilvl="5">
      <w:start w:val="1"/>
      <w:lvlText w:val="%1.%2.%3.%4.%5.%6."/>
      <w:lvlJc w:val="left"/>
      <w:isLgl/>
      <w:pPr>
        <w:ind w:left="3240" w:hanging="1080"/>
      </w:pPr>
      <w:rPr>
        <w:rFonts w:hint="default"/>
      </w:rPr>
    </w:lvl>
    <w:lvl w:ilvl="6">
      <w:start w:val="1"/>
      <w:lvlText w:val="%1.%2.%3.%4.%5.%6.%7."/>
      <w:lvlJc w:val="left"/>
      <w:isLgl/>
      <w:pPr>
        <w:ind w:left="3960" w:hanging="1440"/>
      </w:pPr>
      <w:rPr>
        <w:rFonts w:hint="default"/>
      </w:rPr>
    </w:lvl>
    <w:lvl w:ilvl="7">
      <w:start w:val="1"/>
      <w:lvlText w:val="%1.%2.%3.%4.%5.%6.%7.%8."/>
      <w:lvlJc w:val="left"/>
      <w:isLgl/>
      <w:pPr>
        <w:ind w:left="4320" w:hanging="1440"/>
      </w:pPr>
      <w:rPr>
        <w:rFonts w:hint="default"/>
      </w:rPr>
    </w:lvl>
    <w:lvl w:ilvl="8">
      <w:start w:val="1"/>
      <w:lvlText w:val="%1.%2.%3.%4.%5.%6.%7.%8.%9."/>
      <w:lvlJc w:val="left"/>
      <w:isLgl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ru-RU"/>
        <w:rFonts w:ascii="Times New Roman" w:eastAsia="Times New Roman" w:hAnsi="Times New Roman" w:cs="Times New Roman" w:hint="default"/>
      </w:rPr>
    </w:rPrDefault>
    <w:pPrDefault>
      <w:pPr/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f3">
    <w:name w:val="List Paragraph"/>
    <w:basedOn w:val="a1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created xsi:type="dcterms:W3CDTF">2019-12-16T06:49:07Z</dcterms:created>
  <dcterms:modified xsi:type="dcterms:W3CDTF">2019-12-16T10:45:29Z</dcterms:modified>
  <cp:lastPrinted>2019-12-16T07:19:46Z</cp:lastPrinted>
  <cp:version>0900.0000.01</cp:version>
</cp:coreProperties>
</file>